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FC64" w14:textId="77777777" w:rsidR="004462D1" w:rsidRDefault="004462D1" w:rsidP="004462D1">
      <w:pPr>
        <w:pStyle w:val="CCGHeader1numbered"/>
        <w:numPr>
          <w:ilvl w:val="0"/>
          <w:numId w:val="0"/>
        </w:numPr>
        <w:ind w:left="851" w:hanging="851"/>
      </w:pPr>
      <w:bookmarkStart w:id="0" w:name="_Toc147401782"/>
      <w:r>
        <w:t>Appendix C – Statement to Include in Referral Letters</w:t>
      </w:r>
      <w:bookmarkEnd w:id="0"/>
      <w:r>
        <w:rPr>
          <w:sz w:val="24"/>
        </w:rPr>
        <w:t xml:space="preserve"> </w:t>
      </w:r>
    </w:p>
    <w:p w14:paraId="16065F79" w14:textId="77777777" w:rsidR="004462D1" w:rsidRPr="00FF0455" w:rsidRDefault="004462D1" w:rsidP="004462D1">
      <w:pPr>
        <w:spacing w:after="186" w:line="240" w:lineRule="auto"/>
        <w:ind w:left="-5" w:hanging="10"/>
        <w:rPr>
          <w:rFonts w:ascii="Arial" w:hAnsi="Arial" w:cs="Arial"/>
          <w:sz w:val="24"/>
          <w:szCs w:val="24"/>
        </w:rPr>
      </w:pPr>
      <w:r w:rsidRPr="00FF0455">
        <w:rPr>
          <w:rFonts w:ascii="Arial" w:hAnsi="Arial" w:cs="Arial"/>
          <w:sz w:val="24"/>
          <w:szCs w:val="24"/>
        </w:rPr>
        <w:t xml:space="preserve">It is suggested that the following statement is included in all referral letters whether to an NHS or private specialist. Practices may adapt this as appropriate. </w:t>
      </w:r>
    </w:p>
    <w:p w14:paraId="0D8961F4" w14:textId="77777777" w:rsidR="004462D1" w:rsidRPr="00FF0455" w:rsidRDefault="004462D1" w:rsidP="004462D1">
      <w:pPr>
        <w:spacing w:after="164" w:line="259" w:lineRule="auto"/>
        <w:rPr>
          <w:rFonts w:ascii="Arial" w:hAnsi="Arial" w:cs="Arial"/>
          <w:bCs/>
          <w:sz w:val="24"/>
          <w:szCs w:val="24"/>
        </w:rPr>
      </w:pPr>
      <w:r w:rsidRPr="00FF0455">
        <w:rPr>
          <w:rFonts w:ascii="Arial" w:hAnsi="Arial" w:cs="Arial"/>
          <w:bCs/>
          <w:sz w:val="24"/>
          <w:szCs w:val="24"/>
          <w:u w:val="single" w:color="000000"/>
        </w:rPr>
        <w:t xml:space="preserve">NHS prescribing in primary care following a </w:t>
      </w:r>
      <w:proofErr w:type="gramStart"/>
      <w:r w:rsidRPr="00FF0455">
        <w:rPr>
          <w:rFonts w:ascii="Arial" w:hAnsi="Arial" w:cs="Arial"/>
          <w:bCs/>
          <w:sz w:val="24"/>
          <w:szCs w:val="24"/>
          <w:u w:val="single" w:color="000000"/>
        </w:rPr>
        <w:t>referral</w:t>
      </w:r>
      <w:proofErr w:type="gramEnd"/>
      <w:r w:rsidRPr="00FF0455">
        <w:rPr>
          <w:rFonts w:ascii="Arial" w:hAnsi="Arial" w:cs="Arial"/>
          <w:bCs/>
          <w:sz w:val="24"/>
          <w:szCs w:val="24"/>
        </w:rPr>
        <w:t xml:space="preserve">  </w:t>
      </w:r>
    </w:p>
    <w:p w14:paraId="6A7F7B92" w14:textId="77777777" w:rsidR="004462D1" w:rsidRPr="00FF0455" w:rsidRDefault="004462D1" w:rsidP="004462D1">
      <w:pPr>
        <w:spacing w:after="105" w:line="251" w:lineRule="auto"/>
        <w:ind w:left="-5" w:hanging="10"/>
        <w:rPr>
          <w:rFonts w:ascii="Arial" w:hAnsi="Arial" w:cs="Arial"/>
          <w:bCs/>
          <w:sz w:val="24"/>
          <w:szCs w:val="24"/>
        </w:rPr>
      </w:pPr>
      <w:r w:rsidRPr="00FF0455">
        <w:rPr>
          <w:rFonts w:ascii="Arial" w:hAnsi="Arial" w:cs="Arial"/>
          <w:bCs/>
          <w:sz w:val="24"/>
          <w:szCs w:val="24"/>
        </w:rPr>
        <w:t xml:space="preserve">Any recommendation for NHS prescribing in primary care should be in line with: </w:t>
      </w:r>
    </w:p>
    <w:p w14:paraId="37B47724" w14:textId="77777777" w:rsidR="004462D1" w:rsidRPr="00FF0455" w:rsidRDefault="004462D1" w:rsidP="004462D1">
      <w:pPr>
        <w:numPr>
          <w:ilvl w:val="0"/>
          <w:numId w:val="3"/>
        </w:numPr>
        <w:spacing w:after="105" w:line="251" w:lineRule="auto"/>
        <w:ind w:hanging="361"/>
        <w:rPr>
          <w:rFonts w:ascii="Arial" w:hAnsi="Arial" w:cs="Arial"/>
          <w:bCs/>
          <w:sz w:val="24"/>
          <w:szCs w:val="24"/>
        </w:rPr>
      </w:pPr>
      <w:r w:rsidRPr="00FF0455">
        <w:rPr>
          <w:rFonts w:ascii="Arial" w:hAnsi="Arial" w:cs="Arial"/>
          <w:bCs/>
          <w:sz w:val="24"/>
          <w:szCs w:val="24"/>
        </w:rPr>
        <w:t xml:space="preserve">National guidance </w:t>
      </w:r>
    </w:p>
    <w:p w14:paraId="214B7786" w14:textId="77777777" w:rsidR="004462D1" w:rsidRPr="00FF0455" w:rsidRDefault="004462D1" w:rsidP="004462D1">
      <w:pPr>
        <w:numPr>
          <w:ilvl w:val="0"/>
          <w:numId w:val="3"/>
        </w:numPr>
        <w:spacing w:after="105" w:line="251" w:lineRule="auto"/>
        <w:ind w:hanging="361"/>
        <w:rPr>
          <w:rFonts w:ascii="Arial" w:hAnsi="Arial" w:cs="Arial"/>
          <w:bCs/>
          <w:sz w:val="24"/>
          <w:szCs w:val="24"/>
        </w:rPr>
      </w:pPr>
      <w:r w:rsidRPr="004462D1">
        <w:rPr>
          <w:rFonts w:ascii="Arial" w:hAnsi="Arial" w:cs="Arial"/>
          <w:bCs/>
          <w:sz w:val="24"/>
          <w:szCs w:val="24"/>
        </w:rPr>
        <w:t xml:space="preserve">Local guidance available from Surrey Heartlands Integrated Commissioning Board and </w:t>
      </w:r>
      <w:r w:rsidRPr="00FF0455">
        <w:rPr>
          <w:rFonts w:ascii="Arial" w:hAnsi="Arial" w:cs="Arial"/>
          <w:bCs/>
          <w:sz w:val="24"/>
          <w:szCs w:val="24"/>
        </w:rPr>
        <w:t>on the Surrey Prescribing Advisory Database (PAD)</w:t>
      </w:r>
      <w:hyperlink r:id="rId7">
        <w:r w:rsidRPr="00FF0455">
          <w:rPr>
            <w:rFonts w:ascii="Arial" w:hAnsi="Arial" w:cs="Arial"/>
            <w:bCs/>
            <w:sz w:val="24"/>
            <w:szCs w:val="24"/>
          </w:rPr>
          <w:t xml:space="preserve">: </w:t>
        </w:r>
      </w:hyperlink>
      <w:r w:rsidRPr="00FF0455">
        <w:rPr>
          <w:rFonts w:ascii="Arial" w:hAnsi="Arial" w:cs="Arial"/>
          <w:bCs/>
          <w:sz w:val="24"/>
          <w:szCs w:val="24"/>
        </w:rPr>
        <w:t xml:space="preserve"> </w:t>
      </w:r>
      <w:hyperlink r:id="rId8" w:history="1">
        <w:r w:rsidRPr="00FF0455">
          <w:rPr>
            <w:rStyle w:val="Hyperlink"/>
            <w:rFonts w:ascii="Arial" w:hAnsi="Arial" w:cs="Arial"/>
            <w:bCs/>
            <w:sz w:val="24"/>
            <w:szCs w:val="24"/>
          </w:rPr>
          <w:t>https://surreyccg.res-systems.net/pad</w:t>
        </w:r>
      </w:hyperlink>
    </w:p>
    <w:p w14:paraId="6735022E" w14:textId="77777777" w:rsidR="004462D1" w:rsidRPr="00FF0455" w:rsidRDefault="004462D1" w:rsidP="004462D1">
      <w:pPr>
        <w:numPr>
          <w:ilvl w:val="0"/>
          <w:numId w:val="3"/>
        </w:numPr>
        <w:spacing w:after="105" w:line="251" w:lineRule="auto"/>
        <w:ind w:hanging="361"/>
        <w:rPr>
          <w:rFonts w:ascii="Arial" w:hAnsi="Arial" w:cs="Arial"/>
          <w:bCs/>
          <w:sz w:val="24"/>
          <w:szCs w:val="24"/>
        </w:rPr>
      </w:pPr>
      <w:r w:rsidRPr="00FF0455">
        <w:rPr>
          <w:rFonts w:ascii="Arial" w:hAnsi="Arial" w:cs="Arial"/>
          <w:bCs/>
          <w:sz w:val="24"/>
          <w:szCs w:val="24"/>
        </w:rPr>
        <w:t xml:space="preserve">The Surrey Interface Prescribing Policy (Appendix to Service Level Agreements): </w:t>
      </w:r>
      <w:hyperlink r:id="rId9" w:history="1">
        <w:r w:rsidRPr="00FF0455">
          <w:rPr>
            <w:rStyle w:val="Hyperlink"/>
            <w:rFonts w:ascii="Arial" w:hAnsi="Arial" w:cs="Arial"/>
            <w:bCs/>
            <w:sz w:val="24"/>
            <w:szCs w:val="24"/>
          </w:rPr>
          <w:t>https://surreyccg.res-systems.net/PAD/Guidelines/Detail/6192</w:t>
        </w:r>
      </w:hyperlink>
    </w:p>
    <w:p w14:paraId="77A188E2" w14:textId="77777777" w:rsidR="004462D1" w:rsidRPr="00FF0455" w:rsidRDefault="004462D1" w:rsidP="004462D1">
      <w:pPr>
        <w:spacing w:before="360" w:after="68" w:line="240" w:lineRule="auto"/>
        <w:ind w:right="386"/>
        <w:rPr>
          <w:rFonts w:ascii="Arial" w:hAnsi="Arial" w:cs="Arial"/>
          <w:bCs/>
          <w:sz w:val="24"/>
          <w:szCs w:val="24"/>
        </w:rPr>
      </w:pPr>
      <w:r w:rsidRPr="00FF0455">
        <w:rPr>
          <w:rFonts w:ascii="Arial" w:hAnsi="Arial" w:cs="Arial"/>
          <w:bCs/>
          <w:sz w:val="24"/>
          <w:szCs w:val="24"/>
        </w:rPr>
        <w:t>NHS prescribers in primary care prescribe in line with locally agreed prescribing guidance and drug choices based on published evidence and cost effectiveness of equivalent preparations. Please refer to the Surrey Prescribing Advisory Database (PAD) which provides guidance and information about medicines use in Surrey. It can be accessed by healthcare professionals in primary and secondary care and by patients</w:t>
      </w:r>
      <w:hyperlink r:id="rId10">
        <w:r w:rsidRPr="00FF0455">
          <w:rPr>
            <w:rFonts w:ascii="Arial" w:hAnsi="Arial" w:cs="Arial"/>
            <w:bCs/>
            <w:sz w:val="24"/>
            <w:szCs w:val="24"/>
          </w:rPr>
          <w:t xml:space="preserve">: </w:t>
        </w:r>
      </w:hyperlink>
      <w:hyperlink r:id="rId11" w:history="1">
        <w:r w:rsidRPr="00FF0455">
          <w:rPr>
            <w:rStyle w:val="Hyperlink"/>
            <w:rFonts w:ascii="Arial" w:hAnsi="Arial" w:cs="Arial"/>
            <w:bCs/>
            <w:sz w:val="24"/>
            <w:szCs w:val="24"/>
          </w:rPr>
          <w:t>https://surreyccg.res-systems.net/pad</w:t>
        </w:r>
      </w:hyperlink>
    </w:p>
    <w:p w14:paraId="0B0D2EB4" w14:textId="77777777" w:rsidR="004462D1" w:rsidRPr="00FF0455" w:rsidRDefault="004462D1" w:rsidP="004462D1">
      <w:pPr>
        <w:spacing w:after="0" w:line="251" w:lineRule="auto"/>
        <w:ind w:left="-5" w:hanging="10"/>
        <w:rPr>
          <w:rFonts w:ascii="Arial" w:hAnsi="Arial" w:cs="Arial"/>
          <w:bCs/>
          <w:sz w:val="24"/>
          <w:szCs w:val="24"/>
        </w:rPr>
      </w:pPr>
    </w:p>
    <w:p w14:paraId="13C578C0" w14:textId="77777777" w:rsidR="004462D1" w:rsidRPr="00FF0455" w:rsidRDefault="004462D1" w:rsidP="004462D1">
      <w:pPr>
        <w:spacing w:after="0" w:line="251" w:lineRule="auto"/>
        <w:ind w:left="-5" w:hanging="10"/>
        <w:rPr>
          <w:rFonts w:ascii="Arial" w:hAnsi="Arial" w:cs="Arial"/>
          <w:bCs/>
          <w:sz w:val="24"/>
          <w:szCs w:val="24"/>
        </w:rPr>
      </w:pPr>
      <w:r w:rsidRPr="00FF0455">
        <w:rPr>
          <w:rFonts w:ascii="Arial" w:hAnsi="Arial" w:cs="Arial"/>
          <w:bCs/>
          <w:sz w:val="24"/>
          <w:szCs w:val="24"/>
        </w:rPr>
        <w:t xml:space="preserve">If the recommended medication does not follow national or local guidance, the NHS prescriber may not agree to prescribe (in which case prescribing remains with the specialist) or the GP may substitute a clinically appropriate alternative. The specialist should be aware of these possibilities when discussing proposed treatment with the patient.  </w:t>
      </w:r>
    </w:p>
    <w:p w14:paraId="19B60A8F" w14:textId="77777777" w:rsidR="004462D1" w:rsidRDefault="004462D1" w:rsidP="004462D1">
      <w:pPr>
        <w:rPr>
          <w:rFonts w:ascii="Arial" w:hAnsi="Arial"/>
          <w:b/>
          <w:color w:val="005EB8"/>
          <w:sz w:val="24"/>
          <w:szCs w:val="20"/>
        </w:rPr>
      </w:pPr>
      <w:r>
        <w:rPr>
          <w:sz w:val="24"/>
          <w:szCs w:val="20"/>
        </w:rPr>
        <w:br w:type="page"/>
      </w:r>
    </w:p>
    <w:p w14:paraId="1892B0CF" w14:textId="3A9C60BE" w:rsidR="009F4E4B" w:rsidRPr="004462D1" w:rsidRDefault="009F4E4B" w:rsidP="004462D1"/>
    <w:sectPr w:rsidR="009F4E4B" w:rsidRPr="004462D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E84B" w14:textId="77777777" w:rsidR="00CD4F8E" w:rsidRDefault="00CD4F8E" w:rsidP="00CD4F8E">
      <w:pPr>
        <w:spacing w:after="0" w:line="240" w:lineRule="auto"/>
      </w:pPr>
      <w:r>
        <w:separator/>
      </w:r>
    </w:p>
  </w:endnote>
  <w:endnote w:type="continuationSeparator" w:id="0">
    <w:p w14:paraId="0D104D99" w14:textId="77777777" w:rsidR="00CD4F8E" w:rsidRDefault="00CD4F8E" w:rsidP="00CD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838C" w14:textId="77777777" w:rsidR="00CD4F8E" w:rsidRDefault="00CD4F8E" w:rsidP="00CD4F8E">
      <w:pPr>
        <w:spacing w:after="0" w:line="240" w:lineRule="auto"/>
      </w:pPr>
      <w:r>
        <w:separator/>
      </w:r>
    </w:p>
  </w:footnote>
  <w:footnote w:type="continuationSeparator" w:id="0">
    <w:p w14:paraId="2CF86601" w14:textId="77777777" w:rsidR="00CD4F8E" w:rsidRDefault="00CD4F8E" w:rsidP="00CD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3945" w14:textId="14141844" w:rsidR="00CD4F8E" w:rsidRDefault="00CD4F8E" w:rsidP="00CD4F8E">
    <w:pPr>
      <w:pStyle w:val="Header"/>
      <w:jc w:val="right"/>
    </w:pPr>
    <w:r>
      <w:rPr>
        <w:noProof/>
      </w:rPr>
      <w:drawing>
        <wp:inline distT="0" distB="0" distL="0" distR="0" wp14:anchorId="61F3B79A" wp14:editId="5DD7730C">
          <wp:extent cx="2270570" cy="1024128"/>
          <wp:effectExtent l="0" t="0" r="0" b="5080"/>
          <wp:docPr id="357615677" name="Picture 35761567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75674" cy="102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17F3A"/>
    <w:multiLevelType w:val="multilevel"/>
    <w:tmpl w:val="7324BEAC"/>
    <w:lvl w:ilvl="0">
      <w:start w:val="1"/>
      <w:numFmt w:val="decimal"/>
      <w:pStyle w:val="CCGHeader1numbered"/>
      <w:lvlText w:val="%1."/>
      <w:lvlJc w:val="left"/>
      <w:pPr>
        <w:ind w:left="851" w:hanging="851"/>
      </w:pPr>
      <w:rPr>
        <w:rFonts w:hint="default"/>
      </w:rPr>
    </w:lvl>
    <w:lvl w:ilvl="1">
      <w:start w:val="1"/>
      <w:numFmt w:val="decimal"/>
      <w:pStyle w:val="CCGHeader2numbered"/>
      <w:isLgl/>
      <w:lvlText w:val="%1.%2"/>
      <w:lvlJc w:val="left"/>
      <w:pPr>
        <w:ind w:left="851" w:hanging="851"/>
      </w:pPr>
      <w:rPr>
        <w:rFonts w:hint="default"/>
      </w:rPr>
    </w:lvl>
    <w:lvl w:ilvl="2">
      <w:start w:val="1"/>
      <w:numFmt w:val="decimal"/>
      <w:pStyle w:val="CCGHeader3numbered"/>
      <w:isLgl/>
      <w:lvlText w:val="%1.%2.%3"/>
      <w:lvlJc w:val="left"/>
      <w:pPr>
        <w:ind w:left="851" w:hanging="85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1234D8F"/>
    <w:multiLevelType w:val="hybridMultilevel"/>
    <w:tmpl w:val="3656D96A"/>
    <w:lvl w:ilvl="0" w:tplc="57C0B644">
      <w:start w:val="1"/>
      <w:numFmt w:val="decimal"/>
      <w:lvlText w:val="%1."/>
      <w:lvlJc w:val="left"/>
      <w:pPr>
        <w:ind w:left="7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0E040B4">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45481F8">
      <w:start w:val="1"/>
      <w:numFmt w:val="lowerRoman"/>
      <w:lvlText w:val="%3"/>
      <w:lvlJc w:val="left"/>
      <w:pPr>
        <w:ind w:left="21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000C752">
      <w:start w:val="1"/>
      <w:numFmt w:val="decimal"/>
      <w:lvlText w:val="%4"/>
      <w:lvlJc w:val="left"/>
      <w:pPr>
        <w:ind w:left="28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6886A9C">
      <w:start w:val="1"/>
      <w:numFmt w:val="lowerLetter"/>
      <w:lvlText w:val="%5"/>
      <w:lvlJc w:val="left"/>
      <w:pPr>
        <w:ind w:left="36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48A22E8">
      <w:start w:val="1"/>
      <w:numFmt w:val="lowerRoman"/>
      <w:lvlText w:val="%6"/>
      <w:lvlJc w:val="left"/>
      <w:pPr>
        <w:ind w:left="43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5368068">
      <w:start w:val="1"/>
      <w:numFmt w:val="decimal"/>
      <w:lvlText w:val="%7"/>
      <w:lvlJc w:val="left"/>
      <w:pPr>
        <w:ind w:left="50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AD2CB2E">
      <w:start w:val="1"/>
      <w:numFmt w:val="lowerLetter"/>
      <w:lvlText w:val="%8"/>
      <w:lvlJc w:val="left"/>
      <w:pPr>
        <w:ind w:left="57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BA8E4F0">
      <w:start w:val="1"/>
      <w:numFmt w:val="lowerRoman"/>
      <w:lvlText w:val="%9"/>
      <w:lvlJc w:val="left"/>
      <w:pPr>
        <w:ind w:left="64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A54BF9"/>
    <w:multiLevelType w:val="hybridMultilevel"/>
    <w:tmpl w:val="AAD0A1A2"/>
    <w:lvl w:ilvl="0" w:tplc="3EE2D2DE">
      <w:start w:val="1"/>
      <w:numFmt w:val="decimal"/>
      <w:lvlText w:val="%1)"/>
      <w:lvlJc w:val="left"/>
      <w:pPr>
        <w:ind w:left="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E8BFEA">
      <w:start w:val="1"/>
      <w:numFmt w:val="lowerLetter"/>
      <w:lvlText w:val="%2"/>
      <w:lvlJc w:val="left"/>
      <w:pPr>
        <w:ind w:left="1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1C86A2">
      <w:start w:val="1"/>
      <w:numFmt w:val="lowerRoman"/>
      <w:lvlText w:val="%3"/>
      <w:lvlJc w:val="left"/>
      <w:pPr>
        <w:ind w:left="2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6AE6EC">
      <w:start w:val="1"/>
      <w:numFmt w:val="decimal"/>
      <w:lvlText w:val="%4"/>
      <w:lvlJc w:val="left"/>
      <w:pPr>
        <w:ind w:left="2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5CF768">
      <w:start w:val="1"/>
      <w:numFmt w:val="lowerLetter"/>
      <w:lvlText w:val="%5"/>
      <w:lvlJc w:val="left"/>
      <w:pPr>
        <w:ind w:left="3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48F792">
      <w:start w:val="1"/>
      <w:numFmt w:val="lowerRoman"/>
      <w:lvlText w:val="%6"/>
      <w:lvlJc w:val="left"/>
      <w:pPr>
        <w:ind w:left="4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36AAA8">
      <w:start w:val="1"/>
      <w:numFmt w:val="decimal"/>
      <w:lvlText w:val="%7"/>
      <w:lvlJc w:val="left"/>
      <w:pPr>
        <w:ind w:left="4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8C652">
      <w:start w:val="1"/>
      <w:numFmt w:val="lowerLetter"/>
      <w:lvlText w:val="%8"/>
      <w:lvlJc w:val="left"/>
      <w:pPr>
        <w:ind w:left="5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1ED6D2">
      <w:start w:val="1"/>
      <w:numFmt w:val="lowerRoman"/>
      <w:lvlText w:val="%9"/>
      <w:lvlJc w:val="left"/>
      <w:pPr>
        <w:ind w:left="6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36731561">
    <w:abstractNumId w:val="0"/>
    <w:lvlOverride w:ilvl="0">
      <w:lvl w:ilvl="0">
        <w:start w:val="1"/>
        <w:numFmt w:val="decimal"/>
        <w:pStyle w:val="CCGHeader1numbered"/>
        <w:lvlText w:val="%1."/>
        <w:lvlJc w:val="left"/>
        <w:pPr>
          <w:ind w:left="851" w:hanging="851"/>
        </w:pPr>
        <w:rPr>
          <w:rFonts w:hint="default"/>
          <w:b w:val="0"/>
          <w:bCs w:val="0"/>
        </w:rPr>
      </w:lvl>
    </w:lvlOverride>
    <w:lvlOverride w:ilvl="1">
      <w:lvl w:ilvl="1">
        <w:start w:val="1"/>
        <w:numFmt w:val="decimal"/>
        <w:pStyle w:val="CCGHeader2numbered"/>
        <w:isLgl/>
        <w:lvlText w:val="%1.%2"/>
        <w:lvlJc w:val="left"/>
        <w:pPr>
          <w:ind w:left="851" w:hanging="851"/>
        </w:pPr>
        <w:rPr>
          <w:rFonts w:hint="default"/>
          <w:b w:val="0"/>
          <w:bCs/>
        </w:rPr>
      </w:lvl>
    </w:lvlOverride>
    <w:lvlOverride w:ilvl="2">
      <w:lvl w:ilvl="2">
        <w:start w:val="1"/>
        <w:numFmt w:val="decimal"/>
        <w:lvlRestart w:val="0"/>
        <w:pStyle w:val="CCGHeader3numbered"/>
        <w:isLgl/>
        <w:lvlText w:val="%1.%2.%3"/>
        <w:lvlJc w:val="left"/>
        <w:pPr>
          <w:ind w:left="851" w:hanging="851"/>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2" w16cid:durableId="1968119401">
    <w:abstractNumId w:val="2"/>
  </w:num>
  <w:num w:numId="3" w16cid:durableId="12716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8E"/>
    <w:rsid w:val="004462D1"/>
    <w:rsid w:val="009F4E4B"/>
    <w:rsid w:val="00C25163"/>
    <w:rsid w:val="00CD4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5059"/>
  <w15:chartTrackingRefBased/>
  <w15:docId w15:val="{693745A7-3114-44F2-BCEE-04656283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4F8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8E"/>
  </w:style>
  <w:style w:type="paragraph" w:styleId="Footer">
    <w:name w:val="footer"/>
    <w:basedOn w:val="Normal"/>
    <w:link w:val="FooterChar"/>
    <w:uiPriority w:val="99"/>
    <w:unhideWhenUsed/>
    <w:rsid w:val="00CD4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8E"/>
  </w:style>
  <w:style w:type="paragraph" w:customStyle="1" w:styleId="CCGHeader1numbered">
    <w:name w:val="CCG Header 1 numbered"/>
    <w:basedOn w:val="Normal"/>
    <w:next w:val="Normal"/>
    <w:link w:val="CCGHeader1numberedChar"/>
    <w:qFormat/>
    <w:rsid w:val="00CD4F8E"/>
    <w:pPr>
      <w:keepNext/>
      <w:numPr>
        <w:numId w:val="1"/>
      </w:numPr>
      <w:spacing w:before="400" w:after="120"/>
      <w:outlineLvl w:val="0"/>
    </w:pPr>
    <w:rPr>
      <w:rFonts w:ascii="Arial" w:hAnsi="Arial"/>
      <w:b/>
      <w:color w:val="005EB8"/>
      <w:sz w:val="28"/>
    </w:rPr>
  </w:style>
  <w:style w:type="character" w:customStyle="1" w:styleId="CCGHeader1numberedChar">
    <w:name w:val="CCG Header 1 numbered Char"/>
    <w:basedOn w:val="DefaultParagraphFont"/>
    <w:link w:val="CCGHeader1numbered"/>
    <w:rsid w:val="00CD4F8E"/>
    <w:rPr>
      <w:rFonts w:ascii="Arial" w:hAnsi="Arial"/>
      <w:b/>
      <w:color w:val="005EB8"/>
      <w:kern w:val="0"/>
      <w:sz w:val="28"/>
      <w14:ligatures w14:val="none"/>
    </w:rPr>
  </w:style>
  <w:style w:type="paragraph" w:customStyle="1" w:styleId="CCGHeader2numbered">
    <w:name w:val="CCG Header 2 numbered"/>
    <w:basedOn w:val="Normal"/>
    <w:next w:val="Normal"/>
    <w:qFormat/>
    <w:rsid w:val="00CD4F8E"/>
    <w:pPr>
      <w:keepNext/>
      <w:numPr>
        <w:ilvl w:val="1"/>
        <w:numId w:val="1"/>
      </w:numPr>
      <w:spacing w:before="120" w:after="120"/>
    </w:pPr>
    <w:rPr>
      <w:rFonts w:ascii="Arial" w:hAnsi="Arial"/>
      <w:b/>
      <w:color w:val="005EB8"/>
      <w:sz w:val="24"/>
    </w:rPr>
  </w:style>
  <w:style w:type="paragraph" w:customStyle="1" w:styleId="CCGHeader3numbered">
    <w:name w:val="CCG Header 3 numbered"/>
    <w:basedOn w:val="CCGHeader2numbered"/>
    <w:next w:val="Normal"/>
    <w:qFormat/>
    <w:rsid w:val="00CD4F8E"/>
    <w:pPr>
      <w:numPr>
        <w:ilvl w:val="2"/>
      </w:numPr>
    </w:pPr>
    <w:rPr>
      <w:b w:val="0"/>
    </w:rPr>
  </w:style>
  <w:style w:type="character" w:styleId="Hyperlink">
    <w:name w:val="Hyperlink"/>
    <w:basedOn w:val="DefaultParagraphFont"/>
    <w:uiPriority w:val="99"/>
    <w:unhideWhenUsed/>
    <w:rsid w:val="00CD4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reyccg.res-systems.net/p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d.res360.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reyccg.res-systems.net/pad" TargetMode="External"/><Relationship Id="rId5" Type="http://schemas.openxmlformats.org/officeDocument/2006/relationships/footnotes" Target="footnotes.xml"/><Relationship Id="rId10" Type="http://schemas.openxmlformats.org/officeDocument/2006/relationships/hyperlink" Target="http://pad.res360.net/" TargetMode="External"/><Relationship Id="rId4" Type="http://schemas.openxmlformats.org/officeDocument/2006/relationships/webSettings" Target="webSettings.xml"/><Relationship Id="rId9" Type="http://schemas.openxmlformats.org/officeDocument/2006/relationships/hyperlink" Target="https://surreyccg.res-systems.net/PAD/Guidelines/Detail/619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88239.9819BD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SOLOMONS, Kevin (NHS SURREY HEARTLANDS ICB - 92A)</dc:creator>
  <cp:keywords/>
  <dc:description/>
  <cp:lastModifiedBy>SOLOMONS, Kevin (NHS SURREY HEARTLANDS ICB - 92A)</cp:lastModifiedBy>
  <cp:revision>2</cp:revision>
  <dcterms:created xsi:type="dcterms:W3CDTF">2023-11-03T10:37:00Z</dcterms:created>
  <dcterms:modified xsi:type="dcterms:W3CDTF">2023-11-03T10:37:00Z</dcterms:modified>
</cp:coreProperties>
</file>